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C04CB" w:rsidRPr="004376A9" w:rsidRDefault="000C04CB" w:rsidP="000C04CB">
      <w:pPr>
        <w:jc w:val="center"/>
        <w:rPr>
          <w:rFonts w:cs="Times New Roman"/>
          <w:b/>
          <w:szCs w:val="24"/>
        </w:rPr>
      </w:pPr>
      <w:r w:rsidRPr="004376A9">
        <w:rPr>
          <w:rFonts w:cs="Times New Roman"/>
          <w:b/>
          <w:szCs w:val="24"/>
        </w:rPr>
        <w:t>Capnography</w:t>
      </w:r>
    </w:p>
    <w:p w:rsidR="000C04CB" w:rsidRPr="004376A9" w:rsidRDefault="000C04CB" w:rsidP="000C04CB">
      <w:pPr>
        <w:jc w:val="center"/>
        <w:rPr>
          <w:rFonts w:cs="Times New Roman"/>
          <w:b/>
          <w:szCs w:val="24"/>
        </w:rPr>
      </w:pPr>
    </w:p>
    <w:p w:rsidR="000C04CB" w:rsidRPr="004376A9" w:rsidRDefault="000C04CB" w:rsidP="000C04CB">
      <w:pPr>
        <w:jc w:val="center"/>
        <w:rPr>
          <w:rFonts w:cs="Times New Roman"/>
          <w:b/>
          <w:szCs w:val="24"/>
        </w:rPr>
      </w:pPr>
    </w:p>
    <w:p w:rsidR="000C04CB" w:rsidRPr="004376A9" w:rsidRDefault="000C04CB" w:rsidP="000C04CB">
      <w:pPr>
        <w:jc w:val="center"/>
        <w:rPr>
          <w:rFonts w:cs="Times New Roman"/>
          <w:szCs w:val="24"/>
        </w:rPr>
      </w:pPr>
      <w:r w:rsidRPr="004376A9">
        <w:rPr>
          <w:rFonts w:cs="Times New Roman"/>
          <w:szCs w:val="24"/>
        </w:rPr>
        <w:t xml:space="preserve">Name </w:t>
      </w:r>
    </w:p>
    <w:p w:rsidR="000C04CB" w:rsidRPr="004376A9" w:rsidRDefault="000C04CB" w:rsidP="000C04CB">
      <w:pPr>
        <w:jc w:val="center"/>
        <w:rPr>
          <w:rFonts w:cs="Times New Roman"/>
          <w:szCs w:val="24"/>
        </w:rPr>
      </w:pPr>
      <w:r w:rsidRPr="004376A9">
        <w:rPr>
          <w:rFonts w:cs="Times New Roman"/>
          <w:szCs w:val="24"/>
        </w:rPr>
        <w:t>Affiliation</w:t>
      </w:r>
    </w:p>
    <w:p w:rsidR="000C04CB" w:rsidRPr="004376A9" w:rsidRDefault="000C04CB" w:rsidP="000C04CB">
      <w:pPr>
        <w:jc w:val="center"/>
        <w:rPr>
          <w:rFonts w:cs="Times New Roman"/>
          <w:szCs w:val="24"/>
        </w:rPr>
      </w:pPr>
      <w:r w:rsidRPr="004376A9">
        <w:rPr>
          <w:rFonts w:cs="Times New Roman"/>
          <w:szCs w:val="24"/>
        </w:rPr>
        <w:t>Date</w:t>
      </w:r>
    </w:p>
    <w:p w:rsidR="000C04CB" w:rsidRPr="004376A9" w:rsidRDefault="000C04CB" w:rsidP="000C04CB">
      <w:pPr>
        <w:jc w:val="center"/>
        <w:rPr>
          <w:rFonts w:cs="Times New Roman"/>
          <w:szCs w:val="24"/>
        </w:rPr>
      </w:pPr>
    </w:p>
    <w:p w:rsidR="000C04CB" w:rsidRPr="004376A9" w:rsidRDefault="000C04CB" w:rsidP="000C04CB">
      <w:pPr>
        <w:jc w:val="center"/>
        <w:rPr>
          <w:rFonts w:cs="Times New Roman"/>
          <w:szCs w:val="24"/>
        </w:rPr>
      </w:pPr>
    </w:p>
    <w:p w:rsidR="000C04CB" w:rsidRPr="004376A9" w:rsidRDefault="000C04CB" w:rsidP="000C04CB">
      <w:pPr>
        <w:jc w:val="center"/>
        <w:rPr>
          <w:rFonts w:cs="Times New Roman"/>
          <w:szCs w:val="24"/>
        </w:rPr>
      </w:pPr>
    </w:p>
    <w:p w:rsidR="000C04CB" w:rsidRPr="004376A9" w:rsidRDefault="000C04CB" w:rsidP="000C04CB">
      <w:pPr>
        <w:jc w:val="center"/>
        <w:rPr>
          <w:rFonts w:cs="Times New Roman"/>
          <w:szCs w:val="24"/>
        </w:rPr>
      </w:pPr>
    </w:p>
    <w:p w:rsidR="000C04CB" w:rsidRPr="004376A9" w:rsidRDefault="000C04CB" w:rsidP="000C04CB">
      <w:pPr>
        <w:jc w:val="center"/>
        <w:rPr>
          <w:rFonts w:cs="Times New Roman"/>
          <w:szCs w:val="24"/>
        </w:rPr>
      </w:pPr>
    </w:p>
    <w:p w:rsidR="000C04CB" w:rsidRPr="004376A9" w:rsidRDefault="000C04CB" w:rsidP="000C04CB">
      <w:pPr>
        <w:jc w:val="center"/>
        <w:rPr>
          <w:rFonts w:cs="Times New Roman"/>
          <w:szCs w:val="24"/>
        </w:rPr>
      </w:pPr>
    </w:p>
    <w:p w:rsidR="000C04CB" w:rsidRPr="004376A9" w:rsidRDefault="000C04CB" w:rsidP="000C04CB">
      <w:pPr>
        <w:jc w:val="center"/>
        <w:rPr>
          <w:rFonts w:cs="Times New Roman"/>
          <w:szCs w:val="24"/>
        </w:rPr>
      </w:pPr>
    </w:p>
    <w:p w:rsidR="000C04CB" w:rsidRPr="004376A9" w:rsidRDefault="000C04CB" w:rsidP="000C04CB">
      <w:pPr>
        <w:jc w:val="center"/>
        <w:rPr>
          <w:rFonts w:cs="Times New Roman"/>
          <w:szCs w:val="24"/>
        </w:rPr>
      </w:pPr>
    </w:p>
    <w:p w:rsidR="000C04CB" w:rsidRPr="004376A9" w:rsidRDefault="000C04CB" w:rsidP="000C04CB">
      <w:pPr>
        <w:jc w:val="center"/>
        <w:rPr>
          <w:rFonts w:cs="Times New Roman"/>
          <w:szCs w:val="24"/>
        </w:rPr>
      </w:pPr>
    </w:p>
    <w:p w:rsidR="000C04CB" w:rsidRPr="004376A9" w:rsidRDefault="000C04CB" w:rsidP="000C04CB">
      <w:pPr>
        <w:jc w:val="center"/>
        <w:rPr>
          <w:rFonts w:cs="Times New Roman"/>
          <w:szCs w:val="24"/>
        </w:rPr>
      </w:pPr>
    </w:p>
    <w:p w:rsidR="000C04CB" w:rsidRPr="004376A9" w:rsidRDefault="000C04CB" w:rsidP="000C04CB">
      <w:pPr>
        <w:jc w:val="center"/>
        <w:rPr>
          <w:rFonts w:cs="Times New Roman"/>
          <w:szCs w:val="24"/>
        </w:rPr>
      </w:pPr>
    </w:p>
    <w:p w:rsidR="000C04CB" w:rsidRPr="004376A9" w:rsidRDefault="000C04CB" w:rsidP="000C04CB">
      <w:pPr>
        <w:jc w:val="center"/>
        <w:rPr>
          <w:rFonts w:cs="Times New Roman"/>
          <w:szCs w:val="24"/>
        </w:rPr>
      </w:pPr>
    </w:p>
    <w:p w:rsidR="000C04CB" w:rsidRPr="004376A9" w:rsidRDefault="000C04CB" w:rsidP="000C04CB">
      <w:pPr>
        <w:jc w:val="center"/>
        <w:rPr>
          <w:rFonts w:cs="Times New Roman"/>
          <w:b/>
          <w:szCs w:val="24"/>
        </w:rPr>
      </w:pPr>
      <w:r w:rsidRPr="004376A9">
        <w:rPr>
          <w:rFonts w:cs="Times New Roman"/>
          <w:b/>
          <w:szCs w:val="24"/>
        </w:rPr>
        <w:t>Capnography</w:t>
      </w:r>
    </w:p>
    <w:p w:rsidR="000C04CB" w:rsidRPr="004376A9" w:rsidRDefault="000C04CB" w:rsidP="000C04CB">
      <w:pPr>
        <w:ind w:firstLine="720"/>
        <w:rPr>
          <w:rFonts w:cs="Times New Roman"/>
          <w:szCs w:val="24"/>
        </w:rPr>
      </w:pPr>
      <w:r w:rsidRPr="004376A9">
        <w:rPr>
          <w:rFonts w:cs="Times New Roman"/>
          <w:szCs w:val="24"/>
        </w:rPr>
        <w:lastRenderedPageBreak/>
        <w:t>It is a non-invasive measurement during expiration and inspiration of the partial pressure of carbon dioxide from the airway. Capnography provides physiological data on perfusion, metabolism, and ventilation, which is crucial for airway management.EtCO2 or end-tidal is the maximum partial pressure of carbon dioxide obtained at the end of expiration. Capnography reports numeric values; it also adds an explicit presentation of the waveform, which is a representation of terminated CO2 purpose to between time and volume. The formed waveform can also be called a capnogram</w:t>
      </w:r>
      <w:r w:rsidRPr="004376A9">
        <w:rPr>
          <w:rFonts w:cs="Times New Roman"/>
          <w:color w:val="333333"/>
          <w:szCs w:val="24"/>
          <w:shd w:val="clear" w:color="auto" w:fill="FFFFFF"/>
        </w:rPr>
        <w:t xml:space="preserve"> (Kremeier et al., 2019)</w:t>
      </w:r>
      <w:r w:rsidRPr="004376A9">
        <w:rPr>
          <w:rFonts w:cs="Times New Roman"/>
          <w:szCs w:val="24"/>
        </w:rPr>
        <w:t>.</w:t>
      </w:r>
    </w:p>
    <w:p w:rsidR="000C04CB" w:rsidRPr="004376A9" w:rsidRDefault="000C04CB" w:rsidP="000C04CB">
      <w:pPr>
        <w:ind w:firstLine="720"/>
        <w:rPr>
          <w:rFonts w:cs="Times New Roman"/>
          <w:szCs w:val="24"/>
        </w:rPr>
      </w:pPr>
      <w:r w:rsidRPr="004376A9">
        <w:rPr>
          <w:rFonts w:cs="Times New Roman"/>
          <w:szCs w:val="24"/>
        </w:rPr>
        <w:t>The technique allows insight into the metabolism, perfusion, and ventilation of breathing. Apart from its use of validity in End-tidal carbon dioxide measured levels, other advantages include appropriate marking on a pulse oximeter assures that the oxygen inundation recorded is valid. The second advantage is that the evaluation of the specific waveform gives crucial information about the ongoing process of disease and the underlying physiologic conditions</w:t>
      </w:r>
      <w:r w:rsidRPr="004376A9">
        <w:rPr>
          <w:rFonts w:cs="Times New Roman"/>
          <w:color w:val="333333"/>
          <w:szCs w:val="24"/>
          <w:shd w:val="clear" w:color="auto" w:fill="FFFFFF"/>
        </w:rPr>
        <w:t xml:space="preserve"> (Laveneziana et al., 2019)</w:t>
      </w:r>
      <w:r w:rsidRPr="004376A9">
        <w:rPr>
          <w:rFonts w:cs="Times New Roman"/>
          <w:szCs w:val="24"/>
        </w:rPr>
        <w:t>.capnomentry is also a non-invasive monitoring technique which allows the reliable and quick insights into aspects such as metabolism, ventilation, and circulation.capnometry is a vital tool in prediction, diagnosis, and monitoring of outcome.  Medical conditions such as congenital heart disease and pulmonary embolisms affect perfusion of the lung but cannot affect the curve shape but has effects on the relationship between arterial blood carbon dioxide and expired carbon dioxide capnography is also usable in carbon dioxide production measurement. The readings indicate that increased carbon dioxide production is shivering and fever, while reduced production shows hypothermia, and anesthesia.capnography involves pulse oximeter, which monitors the status of oxygen. Capnography use in recent years has proven to be useful in the better detection of dangerous life situations. According to the report by ASA, pulse oximetry and capnography have assisted in the prevention of 94 percent of avoidable anesthesia mishaps.</w:t>
      </w:r>
    </w:p>
    <w:p w:rsidR="000C04CB" w:rsidRPr="004376A9" w:rsidRDefault="000C04CB">
      <w:pPr>
        <w:rPr>
          <w:rFonts w:cs="Times New Roman"/>
          <w:szCs w:val="24"/>
        </w:rPr>
      </w:pPr>
      <w:r w:rsidRPr="004376A9">
        <w:rPr>
          <w:rFonts w:cs="Times New Roman"/>
          <w:szCs w:val="24"/>
        </w:rPr>
        <w:lastRenderedPageBreak/>
        <w:br w:type="page"/>
      </w:r>
    </w:p>
    <w:p w:rsidR="000C04CB" w:rsidRPr="004376A9" w:rsidRDefault="000C04CB" w:rsidP="000C04CB">
      <w:pPr>
        <w:pStyle w:val="NormalWeb"/>
        <w:shd w:val="clear" w:color="auto" w:fill="FFFFFF"/>
        <w:spacing w:before="0" w:beforeAutospacing="0" w:after="0" w:afterAutospacing="0" w:line="550" w:lineRule="atLeast"/>
        <w:ind w:left="720" w:right="75" w:hanging="720"/>
        <w:jc w:val="center"/>
        <w:rPr>
          <w:color w:val="000000"/>
        </w:rPr>
      </w:pPr>
      <w:r w:rsidRPr="004376A9">
        <w:rPr>
          <w:color w:val="000000"/>
        </w:rPr>
        <w:lastRenderedPageBreak/>
        <w:t>references</w:t>
      </w:r>
    </w:p>
    <w:p w:rsidR="000C04CB" w:rsidRPr="004376A9" w:rsidRDefault="000C04CB" w:rsidP="000C04CB">
      <w:pPr>
        <w:pStyle w:val="NormalWeb"/>
        <w:shd w:val="clear" w:color="auto" w:fill="FFFFFF"/>
        <w:spacing w:before="0" w:beforeAutospacing="0" w:after="0" w:afterAutospacing="0" w:line="550" w:lineRule="atLeast"/>
        <w:ind w:left="720" w:right="75" w:hanging="720"/>
        <w:rPr>
          <w:color w:val="000000"/>
        </w:rPr>
      </w:pPr>
      <w:r w:rsidRPr="004376A9">
        <w:rPr>
          <w:color w:val="000000"/>
        </w:rPr>
        <w:t>Kremeier, P., Böhm, S. H., &amp; Tusman, G. (2019). Clinical use of volumetric capnography in mechanically ventilated patients. </w:t>
      </w:r>
      <w:r w:rsidRPr="004376A9">
        <w:rPr>
          <w:rStyle w:val="Emphasis"/>
          <w:color w:val="000000"/>
        </w:rPr>
        <w:t>Journal of Clinical Monitoring and Computing</w:t>
      </w:r>
      <w:r w:rsidRPr="004376A9">
        <w:rPr>
          <w:color w:val="000000"/>
        </w:rPr>
        <w:t>, </w:t>
      </w:r>
      <w:r w:rsidRPr="004376A9">
        <w:rPr>
          <w:rStyle w:val="Emphasis"/>
          <w:color w:val="000000"/>
        </w:rPr>
        <w:t>34</w:t>
      </w:r>
      <w:r w:rsidRPr="004376A9">
        <w:rPr>
          <w:color w:val="000000"/>
        </w:rPr>
        <w:t>(1), 7-16. </w:t>
      </w:r>
      <w:hyperlink r:id="rId4" w:history="1">
        <w:r w:rsidRPr="004376A9">
          <w:rPr>
            <w:rStyle w:val="Hyperlink"/>
            <w:color w:val="000000"/>
            <w:u w:val="none"/>
          </w:rPr>
          <w:t>https://doi.org/10.1007/s10877-019-00325-9</w:t>
        </w:r>
      </w:hyperlink>
    </w:p>
    <w:p w:rsidR="000C04CB" w:rsidRPr="004376A9" w:rsidRDefault="000C04CB" w:rsidP="000C04CB">
      <w:pPr>
        <w:pStyle w:val="NormalWeb"/>
        <w:shd w:val="clear" w:color="auto" w:fill="FFFFFF"/>
        <w:spacing w:before="0" w:beforeAutospacing="0" w:after="0" w:afterAutospacing="0" w:line="550" w:lineRule="atLeast"/>
        <w:ind w:left="720" w:right="75" w:hanging="720"/>
        <w:rPr>
          <w:color w:val="000000"/>
        </w:rPr>
      </w:pPr>
      <w:r w:rsidRPr="004376A9">
        <w:rPr>
          <w:color w:val="000000"/>
        </w:rPr>
        <w:t>Laveneziana, P., Albuquerque, A., Aliverti, A., Babb, T., Barreiro, E., Dres, M., Dubé, B., Fauroux, B., Gea, J., Guenette, J. A., Hudson, A. L., Kabitz, H., Laghi, F., Langer, D., Luo, Y., Neder, J. A., O'Donnell, D., Polkey, M. I., Rabinovich, R., … Verges, S. (2019). ERS statement on respiratory muscle testing at rest and during exercise. </w:t>
      </w:r>
      <w:r w:rsidRPr="004376A9">
        <w:rPr>
          <w:rStyle w:val="Emphasis"/>
          <w:color w:val="000000"/>
        </w:rPr>
        <w:t>European Respiratory Journal</w:t>
      </w:r>
      <w:r w:rsidRPr="004376A9">
        <w:rPr>
          <w:color w:val="000000"/>
        </w:rPr>
        <w:t>, </w:t>
      </w:r>
      <w:r w:rsidRPr="004376A9">
        <w:rPr>
          <w:rStyle w:val="Emphasis"/>
          <w:color w:val="000000"/>
        </w:rPr>
        <w:t>53</w:t>
      </w:r>
      <w:r w:rsidRPr="004376A9">
        <w:rPr>
          <w:color w:val="000000"/>
        </w:rPr>
        <w:t>(6), 1801214. </w:t>
      </w:r>
      <w:hyperlink r:id="rId5" w:history="1">
        <w:r w:rsidRPr="004376A9">
          <w:rPr>
            <w:rStyle w:val="Hyperlink"/>
            <w:color w:val="000000"/>
            <w:u w:val="none"/>
          </w:rPr>
          <w:t>https://doi.org/10.1183/13993003.01214-2018</w:t>
        </w:r>
      </w:hyperlink>
    </w:p>
    <w:p w:rsidR="000C04CB" w:rsidRPr="004376A9" w:rsidRDefault="000C04CB" w:rsidP="000C04CB">
      <w:pPr>
        <w:ind w:firstLine="720"/>
        <w:rPr>
          <w:rFonts w:cs="Times New Roman"/>
          <w:szCs w:val="24"/>
        </w:rPr>
      </w:pPr>
    </w:p>
    <w:p w:rsidR="00AD7547" w:rsidRPr="004376A9" w:rsidRDefault="00D61E3A">
      <w:pPr>
        <w:rPr>
          <w:rFonts w:cs="Times New Roman"/>
          <w:szCs w:val="24"/>
        </w:rPr>
      </w:pPr>
    </w:p>
    <w:sectPr w:rsidR="00AD7547" w:rsidRPr="004376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4CB"/>
    <w:rsid w:val="000C04CB"/>
    <w:rsid w:val="004376A9"/>
    <w:rsid w:val="00901A4A"/>
    <w:rsid w:val="00C7143D"/>
    <w:rsid w:val="00C918D7"/>
    <w:rsid w:val="00D61E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54630E-7C8E-47AE-90F6-188A2CFA6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04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C04CB"/>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0C04CB"/>
    <w:rPr>
      <w:i/>
      <w:iCs/>
    </w:rPr>
  </w:style>
  <w:style w:type="character" w:styleId="Hyperlink">
    <w:name w:val="Hyperlink"/>
    <w:basedOn w:val="DefaultParagraphFont"/>
    <w:uiPriority w:val="99"/>
    <w:semiHidden/>
    <w:unhideWhenUsed/>
    <w:rsid w:val="000C04C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84520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hyperlink" Target="https://doi.org/10.1183/13993003.01214-2018" TargetMode="External" /><Relationship Id="rId4" Type="http://schemas.openxmlformats.org/officeDocument/2006/relationships/hyperlink" Target="https://doi.org/10.1007/s10877-019-00325-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442</Words>
  <Characters>2524</Characters>
  <Application>Microsoft Office Word</Application>
  <DocSecurity>0</DocSecurity>
  <Lines>21</Lines>
  <Paragraphs>5</Paragraphs>
  <ScaleCrop>false</ScaleCrop>
  <Company/>
  <LinksUpToDate>false</LinksUpToDate>
  <CharactersWithSpaces>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SATELITE</dc:creator>
  <cp:keywords/>
  <dc:description/>
  <cp:lastModifiedBy>254716226303</cp:lastModifiedBy>
  <cp:revision>2</cp:revision>
  <dcterms:created xsi:type="dcterms:W3CDTF">2020-08-25T12:17:00Z</dcterms:created>
  <dcterms:modified xsi:type="dcterms:W3CDTF">2020-08-25T12:17:00Z</dcterms:modified>
</cp:coreProperties>
</file>